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72E0F">
      <w:pPr>
        <w:spacing w:line="560" w:lineRule="exact"/>
        <w:rPr>
          <w:szCs w:val="32"/>
        </w:rPr>
      </w:pPr>
      <w:r>
        <w:rPr>
          <w:rFonts w:eastAsia="黑体"/>
          <w:sz w:val="32"/>
          <w:szCs w:val="32"/>
        </w:rPr>
        <w:t>附件1</w:t>
      </w:r>
    </w:p>
    <w:p w14:paraId="288A03B1">
      <w:pPr>
        <w:spacing w:line="560" w:lineRule="exact"/>
        <w:jc w:val="center"/>
        <w:rPr>
          <w:rFonts w:eastAsia="方正小标宋简体"/>
          <w:sz w:val="44"/>
        </w:rPr>
      </w:pPr>
      <w:r>
        <w:rPr>
          <w:rFonts w:eastAsia="方正小标宋简体"/>
          <w:sz w:val="44"/>
        </w:rPr>
        <w:t>“典耀中华 赓续文脉”</w:t>
      </w:r>
    </w:p>
    <w:p w14:paraId="5340C0B9">
      <w:pPr>
        <w:spacing w:line="560" w:lineRule="exact"/>
        <w:jc w:val="center"/>
        <w:rPr>
          <w:rFonts w:eastAsia="方正小标宋简体"/>
          <w:sz w:val="44"/>
        </w:rPr>
      </w:pPr>
      <w:r>
        <w:rPr>
          <w:rFonts w:hint="eastAsia" w:eastAsia="方正小标宋简体"/>
          <w:sz w:val="44"/>
          <w:lang w:val="en-US" w:eastAsia="zh-CN"/>
        </w:rPr>
        <w:t>南通大学2025年度</w:t>
      </w:r>
      <w:r>
        <w:rPr>
          <w:rFonts w:eastAsia="方正小标宋简体"/>
          <w:sz w:val="44"/>
        </w:rPr>
        <w:t>中华经典诵读大赛方案</w:t>
      </w:r>
    </w:p>
    <w:p w14:paraId="4D9CDA7C">
      <w:pPr>
        <w:spacing w:line="560" w:lineRule="exact"/>
        <w:rPr>
          <w:rFonts w:eastAsia="仿宋_GB2312"/>
          <w:sz w:val="32"/>
          <w:szCs w:val="32"/>
        </w:rPr>
      </w:pPr>
    </w:p>
    <w:p w14:paraId="3076FCF5"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一、组织机构</w:t>
      </w:r>
    </w:p>
    <w:p w14:paraId="0831979F">
      <w:pPr>
        <w:spacing w:line="560" w:lineRule="exact"/>
        <w:ind w:firstLine="645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楷体"/>
          <w:sz w:val="32"/>
          <w:szCs w:val="32"/>
        </w:rPr>
        <w:t>主办单位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lang w:val="en-US" w:eastAsia="zh-CN"/>
        </w:rPr>
        <w:t>南通大学创新创业教育学院</w:t>
      </w:r>
    </w:p>
    <w:p w14:paraId="0D6C9DBA">
      <w:pPr>
        <w:spacing w:line="560" w:lineRule="exact"/>
        <w:ind w:firstLine="645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楷体"/>
          <w:sz w:val="32"/>
          <w:szCs w:val="32"/>
          <w:lang w:val="en-US" w:eastAsia="zh-CN"/>
        </w:rPr>
        <w:t>承办单位：</w:t>
      </w:r>
      <w:r>
        <w:rPr>
          <w:rFonts w:hint="eastAsia" w:eastAsia="仿宋_GB2312"/>
          <w:sz w:val="32"/>
          <w:szCs w:val="32"/>
          <w:lang w:val="en-US" w:eastAsia="zh-CN"/>
        </w:rPr>
        <w:t>南通大学文学院</w:t>
      </w:r>
    </w:p>
    <w:p w14:paraId="293AE057">
      <w:pPr>
        <w:spacing w:line="560" w:lineRule="exact"/>
        <w:ind w:firstLine="645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二、参赛对象与组别</w:t>
      </w:r>
    </w:p>
    <w:p w14:paraId="0152014C">
      <w:pPr>
        <w:spacing w:line="560" w:lineRule="exact"/>
        <w:ind w:firstLine="645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（一）参赛对象</w:t>
      </w:r>
    </w:p>
    <w:p w14:paraId="08F76C51">
      <w:pPr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全日制在校</w:t>
      </w:r>
      <w:r>
        <w:rPr>
          <w:rFonts w:hint="eastAsia" w:eastAsia="仿宋_GB2312"/>
          <w:sz w:val="32"/>
          <w:szCs w:val="32"/>
          <w:lang w:val="en-US" w:eastAsia="zh-CN"/>
        </w:rPr>
        <w:t>学生、</w:t>
      </w:r>
      <w:r>
        <w:rPr>
          <w:rFonts w:hint="eastAsia" w:eastAsia="仿宋_GB2312"/>
          <w:sz w:val="32"/>
          <w:szCs w:val="32"/>
        </w:rPr>
        <w:t>在职教师</w:t>
      </w:r>
      <w:r>
        <w:rPr>
          <w:rFonts w:eastAsia="仿宋_GB2312"/>
          <w:sz w:val="32"/>
          <w:szCs w:val="32"/>
        </w:rPr>
        <w:t>。</w:t>
      </w:r>
    </w:p>
    <w:p w14:paraId="2E7140CF">
      <w:pPr>
        <w:spacing w:line="560" w:lineRule="exact"/>
        <w:ind w:firstLine="645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（二）组别设置</w:t>
      </w:r>
    </w:p>
    <w:p w14:paraId="2590305A">
      <w:pPr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分为</w:t>
      </w:r>
      <w:r>
        <w:rPr>
          <w:rFonts w:hint="eastAsia" w:eastAsia="仿宋_GB2312"/>
          <w:sz w:val="32"/>
          <w:szCs w:val="32"/>
        </w:rPr>
        <w:t>大学生组（含研究生）、留学生组</w:t>
      </w:r>
      <w:r>
        <w:rPr>
          <w:rFonts w:hint="eastAsia" w:eastAsia="仿宋_GB2312"/>
          <w:sz w:val="32"/>
          <w:szCs w:val="32"/>
          <w:lang w:val="en-US" w:eastAsia="zh-CN"/>
        </w:rPr>
        <w:t>及</w:t>
      </w:r>
      <w:r>
        <w:rPr>
          <w:rFonts w:hint="eastAsia" w:eastAsia="仿宋_GB2312"/>
          <w:sz w:val="32"/>
          <w:szCs w:val="32"/>
        </w:rPr>
        <w:t>教师组，共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个组别</w:t>
      </w:r>
      <w:r>
        <w:rPr>
          <w:rFonts w:eastAsia="仿宋_GB2312"/>
          <w:sz w:val="32"/>
          <w:szCs w:val="32"/>
        </w:rPr>
        <w:t>。</w:t>
      </w:r>
    </w:p>
    <w:p w14:paraId="713091D8">
      <w:pPr>
        <w:spacing w:line="560" w:lineRule="exact"/>
        <w:ind w:firstLine="645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（三）注意事项</w:t>
      </w:r>
    </w:p>
    <w:p w14:paraId="4797EA54">
      <w:pPr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1.每组可个人参赛，也可2人（含）以上组成团队参赛，其中团队参赛人数不超过20人。参赛过程中人员不得替换、不得增加。</w:t>
      </w:r>
    </w:p>
    <w:p w14:paraId="2D42B31A">
      <w:pPr>
        <w:spacing w:line="560" w:lineRule="exact"/>
        <w:ind w:firstLine="645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2.各组别的参赛者仅限本组组别人员，不得跨组参赛。</w:t>
      </w:r>
    </w:p>
    <w:p w14:paraId="637FB9E3">
      <w:pPr>
        <w:spacing w:line="560" w:lineRule="exact"/>
        <w:ind w:firstLine="645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3.参赛者使用规范汉字准确填写姓名、作品名称等信息。作品提交后，相关信息不得更改。</w:t>
      </w:r>
    </w:p>
    <w:p w14:paraId="1A355724">
      <w:pPr>
        <w:spacing w:line="560" w:lineRule="exact"/>
        <w:ind w:firstLine="645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三、参赛要求</w:t>
      </w:r>
    </w:p>
    <w:p w14:paraId="22AD25FC">
      <w:pPr>
        <w:spacing w:line="560" w:lineRule="exact"/>
        <w:ind w:firstLine="645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（一）内容要求</w:t>
      </w:r>
    </w:p>
    <w:p w14:paraId="2B5BEB3C">
      <w:pPr>
        <w:spacing w:line="560" w:lineRule="exact"/>
        <w:ind w:firstLine="645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我国古代、近现代和当代有社会影响力和</w:t>
      </w:r>
      <w:r>
        <w:rPr>
          <w:rFonts w:eastAsia="仿宋_GB2312"/>
          <w:color w:val="000000"/>
          <w:sz w:val="32"/>
          <w:szCs w:val="32"/>
        </w:rPr>
        <w:t>典范价值的，</w:t>
      </w:r>
      <w:r>
        <w:rPr>
          <w:rFonts w:eastAsia="仿宋_GB2312"/>
          <w:sz w:val="32"/>
          <w:szCs w:val="32"/>
        </w:rPr>
        <w:t>体现中华优秀文化的经典诗词、文章和优秀图书内容</w:t>
      </w:r>
      <w:r>
        <w:rPr>
          <w:rFonts w:eastAsia="仿宋_GB2312"/>
          <w:color w:val="000000"/>
          <w:sz w:val="32"/>
          <w:szCs w:val="32"/>
        </w:rPr>
        <w:t>节选。当代作品应已正式出版或</w:t>
      </w:r>
      <w:r>
        <w:rPr>
          <w:rFonts w:eastAsia="仿宋_GB2312"/>
          <w:sz w:val="32"/>
          <w:szCs w:val="32"/>
        </w:rPr>
        <w:t>由省级以上广播电视等主流媒体公开发布或发表，出版、发表时间至少2年以上，并被广泛传播。</w:t>
      </w:r>
      <w:bookmarkStart w:id="0" w:name="_GoBack"/>
      <w:bookmarkEnd w:id="0"/>
      <w:r>
        <w:rPr>
          <w:rFonts w:eastAsia="仿宋_GB2312"/>
          <w:sz w:val="32"/>
          <w:szCs w:val="32"/>
        </w:rPr>
        <w:t>诵读文本主体前后可根据需要增加总计不超过200字的过渡语（计入总时长）。改编、网络以及自创文本不在征集之列。</w:t>
      </w:r>
    </w:p>
    <w:p w14:paraId="0778A864">
      <w:pPr>
        <w:spacing w:line="560" w:lineRule="exact"/>
        <w:ind w:firstLine="645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（二）形式要求</w:t>
      </w:r>
    </w:p>
    <w:p w14:paraId="14FB9B66">
      <w:pPr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参赛作品要求为2025年新创作录制的视频，高清1920*1080横屏拍摄，格式为MP4，长度为3—6分钟，大小不超过700MB，图像、声音清晰，不抖动、无噪音。视频作品必须同期录音，不得后期配音。录制仅限一个场地，不得切换多个场地。</w:t>
      </w:r>
    </w:p>
    <w:p w14:paraId="3BD3154E">
      <w:pPr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视频文字建议使用方正字库字体或其他有版权的字体，视频中不得使用未经肖像权人同意的肖像，不得使用未经授权的图片、音频和视频，应使用正确表示国家版图的地图，不得出现与诵读大赛无关的条幅、角标等。</w:t>
      </w:r>
    </w:p>
    <w:p w14:paraId="315F4F78">
      <w:pPr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视频作品不能出现参赛者和指导教师的名字、学校或所在单位、所在地区等信息。</w:t>
      </w:r>
    </w:p>
    <w:p w14:paraId="685155F6">
      <w:pPr>
        <w:spacing w:line="560" w:lineRule="exact"/>
        <w:ind w:firstLine="645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（三）其他要求</w:t>
      </w:r>
    </w:p>
    <w:p w14:paraId="75E5718D">
      <w:pPr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作品应以诵读为主，重在用音声之美表情达意，可适当借助吟诵、音乐、服装等手段融合展现诵读内容。鼓励以团队形式诵读。</w:t>
      </w:r>
    </w:p>
    <w:p w14:paraId="0D66D538">
      <w:pPr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每人最多可参与个人或团队诵读作品1件。每件作品的指导教师不超过2人。同一作品的参赛者不得同时署名该作品的指导教师。指导教师应当具备相应的专业能力，能为参赛者提供专业指导。</w:t>
      </w:r>
    </w:p>
    <w:p w14:paraId="779FCC7B">
      <w:pPr>
        <w:spacing w:line="560" w:lineRule="exact"/>
        <w:ind w:firstLine="645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四、赛事组织</w:t>
      </w:r>
    </w:p>
    <w:p w14:paraId="7A07183A">
      <w:pPr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eastAsia="楷体"/>
          <w:sz w:val="32"/>
          <w:szCs w:val="32"/>
        </w:rPr>
        <w:t>（一）</w:t>
      </w:r>
      <w:r>
        <w:rPr>
          <w:rFonts w:hint="eastAsia" w:eastAsia="楷体"/>
          <w:sz w:val="32"/>
          <w:szCs w:val="32"/>
          <w:lang w:val="en-US" w:eastAsia="zh-CN"/>
        </w:rPr>
        <w:t>初赛</w:t>
      </w:r>
      <w:r>
        <w:rPr>
          <w:rFonts w:eastAsia="楷体"/>
          <w:sz w:val="32"/>
          <w:szCs w:val="32"/>
        </w:rPr>
        <w:t>（5月</w:t>
      </w:r>
      <w:r>
        <w:rPr>
          <w:rFonts w:hint="eastAsia" w:eastAsia="楷体"/>
          <w:sz w:val="32"/>
          <w:szCs w:val="32"/>
          <w:lang w:val="en-US" w:eastAsia="zh-CN"/>
        </w:rPr>
        <w:t>21</w:t>
      </w:r>
      <w:r>
        <w:rPr>
          <w:rFonts w:eastAsia="楷体"/>
          <w:sz w:val="32"/>
          <w:szCs w:val="32"/>
        </w:rPr>
        <w:t>日</w:t>
      </w:r>
      <w:r>
        <w:rPr>
          <w:rFonts w:hint="eastAsia" w:eastAsia="楷体"/>
          <w:sz w:val="32"/>
          <w:szCs w:val="32"/>
          <w:lang w:val="en-US" w:eastAsia="zh-CN"/>
        </w:rPr>
        <w:t>前</w:t>
      </w:r>
      <w:r>
        <w:rPr>
          <w:rFonts w:eastAsia="楷体"/>
          <w:sz w:val="32"/>
          <w:szCs w:val="32"/>
        </w:rPr>
        <w:t>）</w:t>
      </w:r>
    </w:p>
    <w:p w14:paraId="5DF0F76E">
      <w:pPr>
        <w:spacing w:line="560" w:lineRule="exact"/>
        <w:ind w:firstLine="645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1.由各单位自行组织，形式自定。</w:t>
      </w:r>
    </w:p>
    <w:p w14:paraId="7A58FFD0">
      <w:pPr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2.根据初赛结果，遴选</w:t>
      </w:r>
      <w:r>
        <w:rPr>
          <w:rFonts w:hint="eastAsia" w:eastAsia="仿宋_GB2312"/>
          <w:sz w:val="32"/>
          <w:szCs w:val="32"/>
        </w:rPr>
        <w:t>推荐优秀作品参加学校复赛。大赛不</w:t>
      </w:r>
      <w:r>
        <w:rPr>
          <w:rFonts w:hint="eastAsia" w:eastAsia="仿宋_GB2312"/>
          <w:sz w:val="32"/>
          <w:szCs w:val="32"/>
          <w:lang w:val="en-US" w:eastAsia="zh-CN"/>
        </w:rPr>
        <w:t>接收</w:t>
      </w:r>
      <w:r>
        <w:rPr>
          <w:rFonts w:hint="eastAsia" w:eastAsia="仿宋_GB2312"/>
          <w:sz w:val="32"/>
          <w:szCs w:val="32"/>
        </w:rPr>
        <w:t>个人</w:t>
      </w:r>
      <w:r>
        <w:rPr>
          <w:rFonts w:hint="eastAsia" w:eastAsia="仿宋_GB2312"/>
          <w:sz w:val="32"/>
          <w:szCs w:val="32"/>
          <w:lang w:val="en-US" w:eastAsia="zh-CN"/>
        </w:rPr>
        <w:t>报名</w:t>
      </w:r>
      <w:r>
        <w:rPr>
          <w:rFonts w:hint="eastAsia" w:eastAsia="仿宋_GB2312"/>
          <w:sz w:val="32"/>
          <w:szCs w:val="32"/>
        </w:rPr>
        <w:t>。</w:t>
      </w:r>
    </w:p>
    <w:p w14:paraId="45963E92">
      <w:pPr>
        <w:spacing w:line="560" w:lineRule="exact"/>
        <w:ind w:firstLine="645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3.各单位在同一组别中被推荐作品不超过5件，团队参赛作品至少1件。每个参赛者被推荐作品限1件。</w:t>
      </w:r>
    </w:p>
    <w:p w14:paraId="038C4919">
      <w:pPr>
        <w:spacing w:line="560" w:lineRule="exact"/>
        <w:ind w:firstLine="645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4.</w:t>
      </w:r>
      <w:r>
        <w:rPr>
          <w:rFonts w:eastAsia="仿宋_GB2312"/>
          <w:sz w:val="32"/>
          <w:szCs w:val="32"/>
        </w:rPr>
        <w:t>5月</w:t>
      </w:r>
      <w:r>
        <w:rPr>
          <w:rFonts w:hint="eastAsia" w:eastAsia="仿宋_GB2312"/>
          <w:sz w:val="32"/>
          <w:szCs w:val="32"/>
          <w:lang w:val="en-US" w:eastAsia="zh-CN"/>
        </w:rPr>
        <w:t>21</w:t>
      </w:r>
      <w:r>
        <w:rPr>
          <w:rFonts w:eastAsia="仿宋_GB2312"/>
          <w:sz w:val="32"/>
          <w:szCs w:val="32"/>
        </w:rPr>
        <w:t>日前，</w:t>
      </w:r>
      <w:r>
        <w:rPr>
          <w:rFonts w:hint="eastAsia" w:eastAsia="仿宋_GB2312"/>
          <w:sz w:val="32"/>
          <w:szCs w:val="32"/>
          <w:lang w:val="en-US" w:eastAsia="zh-CN"/>
        </w:rPr>
        <w:t>各单位将被推荐</w:t>
      </w:r>
      <w:r>
        <w:rPr>
          <w:rFonts w:eastAsia="仿宋_GB2312"/>
          <w:sz w:val="32"/>
          <w:szCs w:val="32"/>
        </w:rPr>
        <w:t>作品</w:t>
      </w:r>
      <w:r>
        <w:rPr>
          <w:rFonts w:hint="eastAsia" w:eastAsia="仿宋_GB2312"/>
          <w:sz w:val="32"/>
          <w:szCs w:val="32"/>
          <w:lang w:val="en-US" w:eastAsia="zh-CN"/>
        </w:rPr>
        <w:t>及《推荐作品汇总表》</w:t>
      </w:r>
      <w:r>
        <w:rPr>
          <w:rFonts w:eastAsia="仿宋_GB2312"/>
          <w:sz w:val="32"/>
          <w:szCs w:val="32"/>
        </w:rPr>
        <w:t>发送至</w:t>
      </w:r>
      <w:r>
        <w:rPr>
          <w:rFonts w:hint="eastAsia" w:eastAsia="仿宋_GB2312"/>
          <w:sz w:val="32"/>
          <w:szCs w:val="32"/>
          <w:lang w:val="en-US" w:eastAsia="zh-CN"/>
        </w:rPr>
        <w:t>校赛</w:t>
      </w:r>
      <w:r>
        <w:rPr>
          <w:rFonts w:eastAsia="仿宋_GB2312"/>
          <w:sz w:val="32"/>
          <w:szCs w:val="32"/>
        </w:rPr>
        <w:t>组委</w:t>
      </w:r>
      <w:r>
        <w:rPr>
          <w:rFonts w:eastAsia="仿宋_GB2312"/>
          <w:color w:val="auto"/>
          <w:sz w:val="32"/>
          <w:szCs w:val="32"/>
        </w:rPr>
        <w:t>会邮箱：</w:t>
      </w:r>
      <w:r>
        <w:rPr>
          <w:rFonts w:hint="eastAsia" w:eastAsia="仿宋_GB2312"/>
          <w:color w:val="auto"/>
          <w:sz w:val="32"/>
          <w:szCs w:val="32"/>
        </w:rPr>
        <w:t>1040086110@qq.com</w:t>
      </w:r>
      <w:r>
        <w:rPr>
          <w:rFonts w:eastAsia="仿宋_GB2312"/>
          <w:color w:val="auto"/>
          <w:sz w:val="32"/>
          <w:szCs w:val="32"/>
        </w:rPr>
        <w:t>。</w:t>
      </w:r>
    </w:p>
    <w:p w14:paraId="33773EA5">
      <w:pPr>
        <w:spacing w:line="560" w:lineRule="exact"/>
        <w:ind w:firstLine="645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（二）</w:t>
      </w:r>
      <w:r>
        <w:rPr>
          <w:rFonts w:hint="eastAsia" w:eastAsia="楷体"/>
          <w:sz w:val="32"/>
          <w:szCs w:val="32"/>
          <w:lang w:val="en-US" w:eastAsia="zh-CN"/>
        </w:rPr>
        <w:t>复赛</w:t>
      </w:r>
      <w:r>
        <w:rPr>
          <w:rFonts w:eastAsia="楷体"/>
          <w:sz w:val="32"/>
          <w:szCs w:val="32"/>
        </w:rPr>
        <w:t>（</w:t>
      </w:r>
      <w:r>
        <w:rPr>
          <w:rFonts w:hint="eastAsia" w:eastAsia="楷体"/>
          <w:sz w:val="32"/>
          <w:szCs w:val="32"/>
          <w:lang w:val="en-US" w:eastAsia="zh-CN"/>
        </w:rPr>
        <w:t>5月22日至5</w:t>
      </w:r>
      <w:r>
        <w:rPr>
          <w:rFonts w:eastAsia="楷体"/>
          <w:sz w:val="32"/>
          <w:szCs w:val="32"/>
        </w:rPr>
        <w:t>月</w:t>
      </w:r>
      <w:r>
        <w:rPr>
          <w:rFonts w:hint="eastAsia" w:eastAsia="楷体"/>
          <w:sz w:val="32"/>
          <w:szCs w:val="32"/>
          <w:lang w:val="en-US" w:eastAsia="zh-CN"/>
        </w:rPr>
        <w:t>26</w:t>
      </w:r>
      <w:r>
        <w:rPr>
          <w:rFonts w:eastAsia="楷体"/>
          <w:sz w:val="32"/>
          <w:szCs w:val="32"/>
        </w:rPr>
        <w:t>日）</w:t>
      </w:r>
    </w:p>
    <w:p w14:paraId="0CA113DC">
      <w:pPr>
        <w:overflowPunct w:val="0"/>
        <w:adjustRightInd w:val="0"/>
        <w:snapToGrid w:val="0"/>
        <w:spacing w:line="54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1.推荐作品的</w:t>
      </w:r>
      <w:r>
        <w:rPr>
          <w:rFonts w:hint="eastAsia" w:eastAsia="仿宋_GB2312"/>
          <w:sz w:val="32"/>
          <w:szCs w:val="32"/>
        </w:rPr>
        <w:t>参赛者</w:t>
      </w:r>
      <w:r>
        <w:rPr>
          <w:rFonts w:hint="eastAsia" w:eastAsia="仿宋_GB2312"/>
          <w:sz w:val="32"/>
          <w:szCs w:val="32"/>
          <w:lang w:val="en-US" w:eastAsia="zh-CN"/>
        </w:rPr>
        <w:t>需</w:t>
      </w:r>
      <w:r>
        <w:rPr>
          <w:rFonts w:hint="eastAsia" w:eastAsia="仿宋_GB2312"/>
          <w:sz w:val="32"/>
          <w:szCs w:val="32"/>
        </w:rPr>
        <w:t>登录</w:t>
      </w:r>
      <w:r>
        <w:rPr>
          <w:rFonts w:hint="eastAsia" w:eastAsia="仿宋_GB2312"/>
          <w:sz w:val="32"/>
          <w:szCs w:val="32"/>
          <w:lang w:val="en-US" w:eastAsia="zh-CN"/>
        </w:rPr>
        <w:t>全国</w:t>
      </w:r>
      <w:r>
        <w:rPr>
          <w:rFonts w:hint="eastAsia" w:eastAsia="仿宋_GB2312"/>
          <w:sz w:val="32"/>
          <w:szCs w:val="32"/>
        </w:rPr>
        <w:t>大赛官网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https://jdsxj.eduyun.cn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参加语言文字知识及诵读常识测评，每人可进行多次测评，系统确定最高分为最终成绩（测评成绩不计入复赛）。60分以上为测评合格，合格者方可获得参</w:t>
      </w:r>
      <w:r>
        <w:rPr>
          <w:rFonts w:hint="eastAsia" w:eastAsia="仿宋_GB2312"/>
          <w:sz w:val="32"/>
          <w:szCs w:val="32"/>
          <w:lang w:val="en-US" w:eastAsia="zh-CN"/>
        </w:rPr>
        <w:t>加复</w:t>
      </w:r>
      <w:r>
        <w:rPr>
          <w:rFonts w:hint="eastAsia" w:eastAsia="仿宋_GB2312"/>
          <w:sz w:val="32"/>
          <w:szCs w:val="32"/>
        </w:rPr>
        <w:t>赛资格。</w:t>
      </w:r>
      <w:r>
        <w:rPr>
          <w:rFonts w:hint="eastAsia" w:eastAsia="仿宋_GB2312"/>
          <w:sz w:val="32"/>
          <w:szCs w:val="32"/>
          <w:lang w:val="en-US" w:eastAsia="zh-CN"/>
        </w:rPr>
        <w:t>团队参赛只需1名参赛者完成测评。</w:t>
      </w:r>
    </w:p>
    <w:p w14:paraId="36201A11">
      <w:pPr>
        <w:spacing w:line="560" w:lineRule="exact"/>
        <w:ind w:firstLine="645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2.</w:t>
      </w:r>
      <w:r>
        <w:rPr>
          <w:rFonts w:hint="eastAsia" w:eastAsia="仿宋_GB2312"/>
          <w:sz w:val="32"/>
          <w:szCs w:val="32"/>
        </w:rPr>
        <w:t>进入复赛的作品，由赛委会组织有关专家进行统一评比，</w:t>
      </w:r>
      <w:r>
        <w:rPr>
          <w:rFonts w:hint="eastAsia" w:eastAsia="仿宋_GB2312"/>
          <w:sz w:val="32"/>
          <w:szCs w:val="32"/>
          <w:lang w:val="en-US" w:eastAsia="zh-CN"/>
        </w:rPr>
        <w:t>根据参赛作品数量</w:t>
      </w:r>
      <w:r>
        <w:rPr>
          <w:rFonts w:hint="eastAsia"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每组别按比例</w:t>
      </w:r>
      <w:r>
        <w:rPr>
          <w:rFonts w:hint="eastAsia" w:eastAsia="仿宋_GB2312"/>
          <w:sz w:val="32"/>
          <w:szCs w:val="32"/>
        </w:rPr>
        <w:t>评选</w:t>
      </w:r>
      <w:r>
        <w:rPr>
          <w:rFonts w:hint="eastAsia" w:eastAsia="仿宋_GB2312"/>
          <w:sz w:val="32"/>
          <w:szCs w:val="32"/>
          <w:lang w:val="en-US" w:eastAsia="zh-CN"/>
        </w:rPr>
        <w:t>特等奖、</w:t>
      </w:r>
      <w:r>
        <w:rPr>
          <w:rFonts w:hint="eastAsia" w:eastAsia="仿宋_GB2312"/>
          <w:sz w:val="32"/>
          <w:szCs w:val="32"/>
        </w:rPr>
        <w:t>一</w:t>
      </w:r>
      <w:r>
        <w:rPr>
          <w:rFonts w:hint="eastAsia" w:eastAsia="仿宋_GB2312"/>
          <w:sz w:val="32"/>
          <w:szCs w:val="32"/>
          <w:lang w:val="en-US" w:eastAsia="zh-CN"/>
        </w:rPr>
        <w:t>等奖</w:t>
      </w:r>
      <w:r>
        <w:rPr>
          <w:rFonts w:hint="eastAsia" w:eastAsia="仿宋_GB2312"/>
          <w:sz w:val="32"/>
          <w:szCs w:val="32"/>
        </w:rPr>
        <w:t>、二</w:t>
      </w:r>
      <w:r>
        <w:rPr>
          <w:rFonts w:hint="eastAsia" w:eastAsia="仿宋_GB2312"/>
          <w:sz w:val="32"/>
          <w:szCs w:val="32"/>
          <w:lang w:val="en-US" w:eastAsia="zh-CN"/>
        </w:rPr>
        <w:t>等奖</w:t>
      </w:r>
      <w:r>
        <w:rPr>
          <w:rFonts w:hint="eastAsia" w:eastAsia="仿宋_GB2312"/>
          <w:sz w:val="32"/>
          <w:szCs w:val="32"/>
        </w:rPr>
        <w:t>、三等奖，并推荐优秀作品参加省赛。</w:t>
      </w:r>
      <w:r>
        <w:rPr>
          <w:rFonts w:hint="eastAsia" w:eastAsia="仿宋_GB2312"/>
          <w:sz w:val="32"/>
          <w:szCs w:val="32"/>
          <w:lang w:val="en-US" w:eastAsia="zh-CN"/>
        </w:rPr>
        <w:t>特、一等奖作品指导老师授予“优秀指导教师奖”。</w:t>
      </w:r>
    </w:p>
    <w:p w14:paraId="0FCA03C0">
      <w:pPr>
        <w:spacing w:line="560" w:lineRule="exact"/>
        <w:ind w:firstLine="645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五</w:t>
      </w:r>
      <w:r>
        <w:rPr>
          <w:rFonts w:eastAsia="黑体"/>
          <w:sz w:val="32"/>
          <w:szCs w:val="32"/>
        </w:rPr>
        <w:t>、其他事项</w:t>
      </w:r>
    </w:p>
    <w:p w14:paraId="3EF20C89">
      <w:pPr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（一）大赛坚持公益性原则，任何单位不得以任何名义向参赛者收取费用。</w:t>
      </w:r>
    </w:p>
    <w:p w14:paraId="7773CCE4">
      <w:pPr>
        <w:spacing w:line="560" w:lineRule="exact"/>
        <w:ind w:firstLine="645"/>
      </w:pPr>
      <w:r>
        <w:rPr>
          <w:rFonts w:eastAsia="仿宋_GB2312"/>
          <w:sz w:val="32"/>
          <w:szCs w:val="32"/>
        </w:rPr>
        <w:t>（二）大赛组委会享有对参赛作品进行公益性展示、出版、汇编、发行及信息网络传播等权益，参赛者拥有署名权。</w:t>
      </w:r>
    </w:p>
    <w:p w14:paraId="6BEE8AAB">
      <w:pPr>
        <w:spacing w:line="560" w:lineRule="exact"/>
        <w:ind w:firstLine="645"/>
        <w:rPr>
          <w:color w:val="auto"/>
        </w:rPr>
      </w:pP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三</w:t>
      </w:r>
      <w:r>
        <w:rPr>
          <w:rFonts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  <w:lang w:val="en-US" w:eastAsia="zh-CN"/>
        </w:rPr>
        <w:t>联系人：许彩云，电话：0513-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85012392；电子邮箱：1040086110@qq.com</w:t>
      </w:r>
      <w:r>
        <w:rPr>
          <w:rFonts w:eastAsia="仿宋_GB2312"/>
          <w:color w:val="auto"/>
          <w:sz w:val="32"/>
          <w:szCs w:val="32"/>
        </w:rPr>
        <w:t>。</w:t>
      </w:r>
    </w:p>
    <w:p w14:paraId="55C872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5B72AD"/>
    <w:multiLevelType w:val="multilevel"/>
    <w:tmpl w:val="3E5B72AD"/>
    <w:lvl w:ilvl="0" w:tentative="0">
      <w:start w:val="1"/>
      <w:numFmt w:val="decimal"/>
      <w:pStyle w:val="2"/>
      <w:isLgl/>
      <w:suff w:val="space"/>
      <w:lvlText w:val="第%1章"/>
      <w:lvlJc w:val="left"/>
      <w:pPr>
        <w:ind w:left="0" w:firstLine="0"/>
      </w:pPr>
      <w:rPr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isLgl/>
      <w:suff w:val="space"/>
      <w:lvlText w:val="%1.%2.%3.%4.%5.%6.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228"/>
    <w:rsid w:val="002C3A13"/>
    <w:rsid w:val="006672E8"/>
    <w:rsid w:val="00B45228"/>
    <w:rsid w:val="00F25A94"/>
    <w:rsid w:val="064F3A34"/>
    <w:rsid w:val="13CA3F0E"/>
    <w:rsid w:val="1B9B7621"/>
    <w:rsid w:val="1D9E065B"/>
    <w:rsid w:val="25D531E5"/>
    <w:rsid w:val="300F2CDD"/>
    <w:rsid w:val="400F5682"/>
    <w:rsid w:val="46977358"/>
    <w:rsid w:val="4C653E79"/>
    <w:rsid w:val="55B253A2"/>
    <w:rsid w:val="642505A6"/>
    <w:rsid w:val="66FF28F2"/>
    <w:rsid w:val="7CA4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pageBreakBefore/>
      <w:numPr>
        <w:ilvl w:val="0"/>
        <w:numId w:val="1"/>
      </w:numPr>
      <w:autoSpaceDE w:val="0"/>
      <w:autoSpaceDN w:val="0"/>
      <w:adjustRightInd w:val="0"/>
      <w:snapToGrid w:val="0"/>
      <w:spacing w:before="120" w:after="120" w:line="360" w:lineRule="auto"/>
      <w:jc w:val="center"/>
      <w:outlineLvl w:val="0"/>
    </w:pPr>
    <w:rPr>
      <w:rFonts w:ascii="黑体" w:hAnsi="Times New Roman" w:eastAsia="黑体" w:cstheme="minorBidi"/>
      <w:b/>
      <w:snapToGrid w:val="0"/>
      <w:color w:val="000000"/>
      <w:sz w:val="44"/>
      <w:szCs w:val="36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4</Pages>
  <Words>1320</Words>
  <Characters>1426</Characters>
  <Lines>16</Lines>
  <Paragraphs>4</Paragraphs>
  <TotalTime>3</TotalTime>
  <ScaleCrop>false</ScaleCrop>
  <LinksUpToDate>false</LinksUpToDate>
  <CharactersWithSpaces>1427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2025-04-03T03:49:00Z</dcterms:created>
  <dc:creator>JSJYT User</dc:creator>
  <cp:lastModifiedBy>施贤明</cp:lastModifiedBy>
  <cp:lastPrinted>2025-05-06T07:56:00Z</cp:lastPrinted>
  <dcterms:modified xsi:type="dcterms:W3CDTF">2025-05-07T02:51:00Z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eyJoZGlkIjoiM2RhYjBmMjZkODU1MTRjYTg5NTY1NDFjNmZjYWNjYmQiLCJ1c2VySWQiOiI2NTAxMjA1MzgifQ==</vt:lpwstr>
  </property>
  <property fmtid="{D5CDD505-2E9C-101B-9397-08002B2CF9AE}" pid="3" name="KSOProductBuildVer">
    <vt:lpwstr>2052-12.1.0.20784</vt:lpwstr>
  </property>
  <property fmtid="{D5CDD505-2E9C-101B-9397-08002B2CF9AE}" pid="4" name="ICV">
    <vt:lpwstr>9011483604984A089EE6FECBB8279246_12</vt:lpwstr>
  </property>
</Properties>
</file>